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A97FD" w14:textId="46C22483" w:rsidR="004C138B" w:rsidRPr="00D77A0E" w:rsidRDefault="004C138B">
      <w:pPr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drawing>
          <wp:anchor distT="0" distB="0" distL="114300" distR="114300" simplePos="0" relativeHeight="251658240" behindDoc="0" locked="0" layoutInCell="1" allowOverlap="1" wp14:anchorId="16D4E431" wp14:editId="285D55D7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2628900" cy="1767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EA logo 2018-150t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5959D" w14:textId="77777777" w:rsidR="004C138B" w:rsidRPr="00D77A0E" w:rsidRDefault="004C138B">
      <w:pPr>
        <w:rPr>
          <w:rFonts w:ascii="Open Sans Regular" w:hAnsi="Open Sans Regular"/>
        </w:rPr>
      </w:pPr>
    </w:p>
    <w:p w14:paraId="48696434" w14:textId="77777777" w:rsidR="004C138B" w:rsidRPr="00D77A0E" w:rsidRDefault="004C138B">
      <w:pPr>
        <w:rPr>
          <w:rFonts w:ascii="Open Sans Regular" w:hAnsi="Open Sans Regular"/>
        </w:rPr>
      </w:pPr>
    </w:p>
    <w:p w14:paraId="6CD67649" w14:textId="77777777" w:rsidR="004C138B" w:rsidRPr="00D77A0E" w:rsidRDefault="004C138B">
      <w:pPr>
        <w:rPr>
          <w:rFonts w:ascii="Open Sans Regular" w:hAnsi="Open Sans Regular"/>
          <w:b/>
        </w:rPr>
      </w:pPr>
    </w:p>
    <w:p w14:paraId="1FB2DFC4" w14:textId="77777777" w:rsidR="004C138B" w:rsidRPr="00D77A0E" w:rsidRDefault="004C138B">
      <w:pPr>
        <w:rPr>
          <w:rFonts w:ascii="Open Sans Regular" w:hAnsi="Open Sans Regular"/>
          <w:b/>
        </w:rPr>
      </w:pPr>
    </w:p>
    <w:p w14:paraId="2AFB9DB8" w14:textId="77777777" w:rsidR="0064626A" w:rsidRPr="00D77A0E" w:rsidRDefault="0064626A">
      <w:pPr>
        <w:rPr>
          <w:rFonts w:ascii="Open Sans Regular" w:hAnsi="Open Sans Regular"/>
          <w:b/>
        </w:rPr>
      </w:pPr>
      <w:r w:rsidRPr="00D77A0E">
        <w:rPr>
          <w:rFonts w:ascii="Open Sans Regular" w:hAnsi="Open Sans Regular"/>
          <w:b/>
        </w:rPr>
        <w:t>Fecha</w:t>
      </w:r>
    </w:p>
    <w:p w14:paraId="167D4932" w14:textId="77777777" w:rsidR="0064626A" w:rsidRPr="00D77A0E" w:rsidRDefault="00CD5405">
      <w:pPr>
        <w:rPr>
          <w:rFonts w:ascii="Open Sans Regular" w:hAnsi="Open Sans Regular"/>
          <w:b/>
        </w:rPr>
      </w:pPr>
      <w:r w:rsidRPr="00D77A0E">
        <w:rPr>
          <w:rFonts w:ascii="Open Sans Regular" w:hAnsi="Open Sans Regular"/>
          <w:b/>
        </w:rPr>
        <w:t>RE: Pa</w:t>
      </w:r>
      <w:r w:rsidR="0064626A" w:rsidRPr="00D77A0E">
        <w:rPr>
          <w:rFonts w:ascii="Open Sans Regular" w:hAnsi="Open Sans Regular"/>
          <w:b/>
        </w:rPr>
        <w:t>ciente</w:t>
      </w:r>
      <w:r w:rsidRPr="00D77A0E">
        <w:rPr>
          <w:rFonts w:ascii="Open Sans Regular" w:hAnsi="Open Sans Regular"/>
          <w:b/>
        </w:rPr>
        <w:t xml:space="preserve"> ___________________________ </w:t>
      </w:r>
    </w:p>
    <w:p w14:paraId="1306A975" w14:textId="77777777" w:rsidR="0064626A" w:rsidRPr="00D77A0E" w:rsidRDefault="0064626A">
      <w:pPr>
        <w:rPr>
          <w:rFonts w:ascii="Open Sans Regular" w:hAnsi="Open Sans Regular"/>
          <w:b/>
        </w:rPr>
      </w:pPr>
      <w:r w:rsidRPr="00D77A0E">
        <w:rPr>
          <w:rFonts w:ascii="Open Sans Regular" w:hAnsi="Open Sans Regular"/>
          <w:b/>
        </w:rPr>
        <w:t xml:space="preserve">A quien pueda interesar: </w:t>
      </w:r>
    </w:p>
    <w:p w14:paraId="7B06ECE6" w14:textId="27C2F4A3" w:rsidR="008C3068" w:rsidRPr="00D77A0E" w:rsidRDefault="00CD5405">
      <w:pPr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>[</w:t>
      </w:r>
      <w:r w:rsidR="0064626A" w:rsidRPr="00D77A0E">
        <w:rPr>
          <w:rFonts w:ascii="Open Sans Regular" w:hAnsi="Open Sans Regular"/>
        </w:rPr>
        <w:t>ESCRIBA EL NOMBRE DEL PACIENTE</w:t>
      </w:r>
      <w:r w:rsidRPr="00D77A0E">
        <w:rPr>
          <w:rFonts w:ascii="Open Sans Regular" w:hAnsi="Open Sans Regular"/>
        </w:rPr>
        <w:t xml:space="preserve">] </w:t>
      </w:r>
      <w:r w:rsidR="0064626A" w:rsidRPr="00D77A0E">
        <w:rPr>
          <w:rFonts w:ascii="Open Sans Regular" w:hAnsi="Open Sans Regular"/>
        </w:rPr>
        <w:t xml:space="preserve">es mi paciente para el tratamiento de </w:t>
      </w:r>
      <w:proofErr w:type="spellStart"/>
      <w:r w:rsidR="0064626A" w:rsidRPr="00D77A0E">
        <w:rPr>
          <w:rFonts w:ascii="Open Sans Regular" w:hAnsi="Open Sans Regular"/>
        </w:rPr>
        <w:t>Angioedema</w:t>
      </w:r>
      <w:proofErr w:type="spellEnd"/>
      <w:r w:rsidR="0064626A" w:rsidRPr="00D77A0E">
        <w:rPr>
          <w:rFonts w:ascii="Open Sans Regular" w:hAnsi="Open Sans Regular"/>
        </w:rPr>
        <w:t xml:space="preserve"> Hereditario </w:t>
      </w:r>
      <w:r w:rsidR="00601D1E" w:rsidRPr="00D77A0E">
        <w:rPr>
          <w:rFonts w:ascii="Open Sans Regular" w:hAnsi="Open Sans Regular"/>
        </w:rPr>
        <w:t>(AEH), una enfermedad poco común</w:t>
      </w:r>
      <w:r w:rsidR="004132B3" w:rsidRPr="00D77A0E">
        <w:rPr>
          <w:rFonts w:ascii="Open Sans Regular" w:hAnsi="Open Sans Regular"/>
        </w:rPr>
        <w:t xml:space="preserve"> y</w:t>
      </w:r>
      <w:r w:rsidR="00601D1E" w:rsidRPr="00D77A0E">
        <w:rPr>
          <w:rFonts w:ascii="Open Sans Regular" w:hAnsi="Open Sans Regular"/>
        </w:rPr>
        <w:t xml:space="preserve"> potencialmente fatal. </w:t>
      </w:r>
    </w:p>
    <w:p w14:paraId="5CFBDEA5" w14:textId="27E3751C" w:rsidR="008C3068" w:rsidRPr="00D77A0E" w:rsidRDefault="00601D1E">
      <w:pPr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>AEH es una condición genética que se c</w:t>
      </w:r>
      <w:r w:rsidR="004132B3" w:rsidRPr="00D77A0E">
        <w:rPr>
          <w:rFonts w:ascii="Open Sans Regular" w:hAnsi="Open Sans Regular"/>
        </w:rPr>
        <w:t>a</w:t>
      </w:r>
      <w:r w:rsidRPr="00D77A0E">
        <w:rPr>
          <w:rFonts w:ascii="Open Sans Regular" w:hAnsi="Open Sans Regular"/>
        </w:rPr>
        <w:t xml:space="preserve">racteriza por ataques recurrentes de </w:t>
      </w:r>
      <w:r w:rsidR="004C138B" w:rsidRPr="00D77A0E">
        <w:rPr>
          <w:rFonts w:ascii="Open Sans Regular" w:hAnsi="Open Sans Regular"/>
        </w:rPr>
        <w:t>hinchazón</w:t>
      </w:r>
      <w:r w:rsidRPr="00D77A0E">
        <w:rPr>
          <w:rFonts w:ascii="Open Sans Regular" w:hAnsi="Open Sans Regular"/>
        </w:rPr>
        <w:t xml:space="preserve">. La </w:t>
      </w:r>
      <w:r w:rsidR="004C138B" w:rsidRPr="00D77A0E">
        <w:rPr>
          <w:rFonts w:ascii="Open Sans Regular" w:hAnsi="Open Sans Regular"/>
        </w:rPr>
        <w:t>hinchazón</w:t>
      </w:r>
      <w:r w:rsidRPr="00D77A0E">
        <w:rPr>
          <w:rFonts w:ascii="Open Sans Regular" w:hAnsi="Open Sans Regular"/>
        </w:rPr>
        <w:t xml:space="preserve"> puede ocurrir en las manos, pies, cara, área genital, o garganta. La hinchazón de la aerovía es particularmente peligrosa y puede causar la muerte por asfixia. Además, los paciente</w:t>
      </w:r>
      <w:r w:rsidR="008C3068" w:rsidRPr="00D77A0E">
        <w:rPr>
          <w:rFonts w:ascii="Open Sans Regular" w:hAnsi="Open Sans Regular"/>
        </w:rPr>
        <w:t>s</w:t>
      </w:r>
      <w:r w:rsidRPr="00D77A0E">
        <w:rPr>
          <w:rFonts w:ascii="Open Sans Regular" w:hAnsi="Open Sans Regular"/>
        </w:rPr>
        <w:t xml:space="preserve"> pueden experimentar episodios de fuerte dolor abdominal, nauseas y vómitos causados por la inflamación de la pared intestinal. Los ataques de AEH que no recib</w:t>
      </w:r>
      <w:r w:rsidR="008C3068" w:rsidRPr="00D77A0E">
        <w:rPr>
          <w:rFonts w:ascii="Open Sans Regular" w:hAnsi="Open Sans Regular"/>
        </w:rPr>
        <w:t>e</w:t>
      </w:r>
      <w:r w:rsidRPr="00D77A0E">
        <w:rPr>
          <w:rFonts w:ascii="Open Sans Regular" w:hAnsi="Open Sans Regular"/>
        </w:rPr>
        <w:t xml:space="preserve">n tratamiento pueden durar entre 24 y 72 horas. </w:t>
      </w:r>
    </w:p>
    <w:p w14:paraId="19FE300E" w14:textId="1D649A91" w:rsidR="008C3068" w:rsidRPr="00D77A0E" w:rsidRDefault="00601D1E">
      <w:pPr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 xml:space="preserve">Los médicos especializados en AEH </w:t>
      </w:r>
      <w:r w:rsidR="004132B3" w:rsidRPr="00D77A0E">
        <w:rPr>
          <w:rFonts w:ascii="Open Sans Regular" w:hAnsi="Open Sans Regular"/>
        </w:rPr>
        <w:t>indican</w:t>
      </w:r>
      <w:r w:rsidRPr="00D77A0E">
        <w:rPr>
          <w:rFonts w:ascii="Open Sans Regular" w:hAnsi="Open Sans Regular"/>
        </w:rPr>
        <w:t xml:space="preserve"> dos alternativas p</w:t>
      </w:r>
      <w:bookmarkStart w:id="0" w:name="_GoBack"/>
      <w:bookmarkEnd w:id="0"/>
      <w:r w:rsidRPr="00D77A0E">
        <w:rPr>
          <w:rFonts w:ascii="Open Sans Regular" w:hAnsi="Open Sans Regular"/>
        </w:rPr>
        <w:t xml:space="preserve">ara tratar los ataques de AEH: </w:t>
      </w:r>
    </w:p>
    <w:p w14:paraId="0699F1C9" w14:textId="77777777" w:rsidR="008C3068" w:rsidRPr="00D77A0E" w:rsidRDefault="00601D1E">
      <w:pPr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 xml:space="preserve">1. </w:t>
      </w:r>
      <w:r w:rsidR="008C3068" w:rsidRPr="00D77A0E">
        <w:rPr>
          <w:rFonts w:ascii="Open Sans Regular" w:hAnsi="Open Sans Regular"/>
        </w:rPr>
        <w:t xml:space="preserve">Por encargo – tratamiento para un ataque agudo. Actualmente, este tipo de terapia, particularmente cuando se administra tan pronto aparecen los síntomas, es altamente efectiva reduciendo la severidad y la duración de los síntomas. </w:t>
      </w:r>
    </w:p>
    <w:p w14:paraId="2C8EDB0F" w14:textId="323994A0" w:rsidR="008C3068" w:rsidRPr="00D77A0E" w:rsidRDefault="00CD5405">
      <w:pPr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>2. Pro</w:t>
      </w:r>
      <w:r w:rsidR="008C3068" w:rsidRPr="00D77A0E">
        <w:rPr>
          <w:rFonts w:ascii="Open Sans Regular" w:hAnsi="Open Sans Regular"/>
        </w:rPr>
        <w:t>filaxis</w:t>
      </w:r>
      <w:r w:rsidR="007C161C" w:rsidRPr="00D77A0E">
        <w:rPr>
          <w:rFonts w:ascii="Open Sans Regular" w:hAnsi="Open Sans Regular"/>
        </w:rPr>
        <w:t xml:space="preserve"> –</w:t>
      </w:r>
      <w:r w:rsidR="008C3068" w:rsidRPr="00D77A0E">
        <w:rPr>
          <w:rFonts w:ascii="Open Sans Regular" w:hAnsi="Open Sans Regular"/>
        </w:rPr>
        <w:t xml:space="preserve"> </w:t>
      </w:r>
      <w:r w:rsidR="007C161C" w:rsidRPr="00D77A0E">
        <w:rPr>
          <w:rFonts w:ascii="Open Sans Regular" w:hAnsi="Open Sans Regular"/>
        </w:rPr>
        <w:t xml:space="preserve">el </w:t>
      </w:r>
      <w:r w:rsidR="008C3068" w:rsidRPr="00D77A0E">
        <w:rPr>
          <w:rFonts w:ascii="Open Sans Regular" w:hAnsi="Open Sans Regular"/>
        </w:rPr>
        <w:t>tratamiento profiláctico continuo es una opción para pacientes que con las terapia</w:t>
      </w:r>
      <w:r w:rsidR="00B80483" w:rsidRPr="00D77A0E">
        <w:rPr>
          <w:rFonts w:ascii="Open Sans Regular" w:hAnsi="Open Sans Regular"/>
        </w:rPr>
        <w:t>s</w:t>
      </w:r>
      <w:r w:rsidR="008C3068" w:rsidRPr="00D77A0E">
        <w:rPr>
          <w:rFonts w:ascii="Open Sans Regular" w:hAnsi="Open Sans Regular"/>
        </w:rPr>
        <w:t xml:space="preserve"> </w:t>
      </w:r>
      <w:r w:rsidR="007C161C" w:rsidRPr="00D77A0E">
        <w:rPr>
          <w:rFonts w:ascii="Open Sans Regular" w:hAnsi="Open Sans Regular"/>
        </w:rPr>
        <w:t>p</w:t>
      </w:r>
      <w:r w:rsidR="008C3068" w:rsidRPr="00D77A0E">
        <w:rPr>
          <w:rFonts w:ascii="Open Sans Regular" w:hAnsi="Open Sans Regular"/>
        </w:rPr>
        <w:t>or encargo no</w:t>
      </w:r>
      <w:r w:rsidR="007C161C" w:rsidRPr="00D77A0E">
        <w:rPr>
          <w:rFonts w:ascii="Open Sans Regular" w:hAnsi="Open Sans Regular"/>
        </w:rPr>
        <w:t xml:space="preserve"> logran </w:t>
      </w:r>
      <w:r w:rsidR="008C3068" w:rsidRPr="00D77A0E">
        <w:rPr>
          <w:rFonts w:ascii="Open Sans Regular" w:hAnsi="Open Sans Regular"/>
        </w:rPr>
        <w:t>suficiente</w:t>
      </w:r>
      <w:r w:rsidR="007C161C" w:rsidRPr="00D77A0E">
        <w:rPr>
          <w:rFonts w:ascii="Open Sans Regular" w:hAnsi="Open Sans Regular"/>
        </w:rPr>
        <w:t xml:space="preserve"> </w:t>
      </w:r>
      <w:r w:rsidR="00B80483" w:rsidRPr="00D77A0E">
        <w:rPr>
          <w:rFonts w:ascii="Open Sans Regular" w:hAnsi="Open Sans Regular"/>
        </w:rPr>
        <w:t xml:space="preserve">control </w:t>
      </w:r>
      <w:r w:rsidR="007C161C" w:rsidRPr="00D77A0E">
        <w:rPr>
          <w:rFonts w:ascii="Open Sans Regular" w:hAnsi="Open Sans Regular"/>
        </w:rPr>
        <w:t xml:space="preserve">de su condición de AEH </w:t>
      </w:r>
      <w:r w:rsidR="008C3068" w:rsidRPr="00D77A0E">
        <w:rPr>
          <w:rFonts w:ascii="Open Sans Regular" w:hAnsi="Open Sans Regular"/>
        </w:rPr>
        <w:t>como para mantener una calidad de vida aceptable</w:t>
      </w:r>
      <w:r w:rsidR="00B80483" w:rsidRPr="00D77A0E">
        <w:rPr>
          <w:rFonts w:ascii="Open Sans Regular" w:hAnsi="Open Sans Regular"/>
        </w:rPr>
        <w:t>.</w:t>
      </w:r>
    </w:p>
    <w:p w14:paraId="5B9E68BF" w14:textId="795E9D95" w:rsidR="007C161C" w:rsidRPr="00D77A0E" w:rsidRDefault="007C161C">
      <w:pPr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 xml:space="preserve">La prevención de los ataques de AEH es sumamente importante cuando el paciente esta más vulnerable debido al trauma de una cirugía o procedimientos dentales. </w:t>
      </w:r>
    </w:p>
    <w:p w14:paraId="67D7CBF2" w14:textId="3EBFEE9D" w:rsidR="007C161C" w:rsidRPr="00D77A0E" w:rsidRDefault="007C161C" w:rsidP="007C161C">
      <w:pPr>
        <w:jc w:val="both"/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 xml:space="preserve">Los medicamentos aprobados por la </w:t>
      </w:r>
      <w:r w:rsidR="00CD5405" w:rsidRPr="00D77A0E">
        <w:rPr>
          <w:rFonts w:ascii="Open Sans Regular" w:hAnsi="Open Sans Regular"/>
        </w:rPr>
        <w:t>FDA</w:t>
      </w:r>
      <w:r w:rsidRPr="00D77A0E">
        <w:rPr>
          <w:rFonts w:ascii="Open Sans Regular" w:hAnsi="Open Sans Regular"/>
        </w:rPr>
        <w:t xml:space="preserve"> para tratar el AEH</w:t>
      </w:r>
      <w:r w:rsidR="00B80483" w:rsidRPr="00D77A0E">
        <w:rPr>
          <w:rFonts w:ascii="Open Sans Regular" w:hAnsi="Open Sans Regular"/>
        </w:rPr>
        <w:t xml:space="preserve"> son</w:t>
      </w:r>
      <w:r w:rsidR="00CD5405" w:rsidRPr="00D77A0E">
        <w:rPr>
          <w:rFonts w:ascii="Open Sans Regular" w:hAnsi="Open Sans Regular"/>
        </w:rPr>
        <w:t xml:space="preserve">: </w:t>
      </w:r>
    </w:p>
    <w:p w14:paraId="31D1CE5D" w14:textId="46C5D6CB" w:rsidR="00C95594" w:rsidRPr="00D77A0E" w:rsidRDefault="00C95594" w:rsidP="00C95594">
      <w:pPr>
        <w:pStyle w:val="ListParagraph"/>
        <w:numPr>
          <w:ilvl w:val="0"/>
          <w:numId w:val="1"/>
        </w:numPr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 xml:space="preserve">CINRYZE™ - </w:t>
      </w:r>
      <w:r w:rsidR="007C161C" w:rsidRPr="00D77A0E">
        <w:rPr>
          <w:rFonts w:ascii="Open Sans Regular" w:hAnsi="Open Sans Regular"/>
        </w:rPr>
        <w:t>marca del inhibidor C1 aprobado por la FDA para prevenir los ataques de AEH</w:t>
      </w:r>
      <w:r w:rsidR="007108D3" w:rsidRPr="00D77A0E">
        <w:rPr>
          <w:rFonts w:ascii="Open Sans Regular" w:hAnsi="Open Sans Regular"/>
        </w:rPr>
        <w:t xml:space="preserve"> en adolescentes y adultos.</w:t>
      </w:r>
      <w:r w:rsidRPr="00D77A0E">
        <w:rPr>
          <w:rFonts w:ascii="Open Sans Regular" w:hAnsi="Open Sans Regular"/>
        </w:rPr>
        <w:t xml:space="preserve"> </w:t>
      </w:r>
      <w:proofErr w:type="spellStart"/>
      <w:r w:rsidR="007C161C" w:rsidRPr="00D77A0E">
        <w:rPr>
          <w:rFonts w:ascii="Open Sans Regular" w:hAnsi="Open Sans Regular"/>
        </w:rPr>
        <w:t>Cinryze</w:t>
      </w:r>
      <w:proofErr w:type="spellEnd"/>
      <w:r w:rsidR="007C161C" w:rsidRPr="00D77A0E">
        <w:rPr>
          <w:rFonts w:ascii="Open Sans Regular" w:hAnsi="Open Sans Regular"/>
        </w:rPr>
        <w:t xml:space="preserve"> ™ es administrado por vena y fue aprobado para infusiones en el hogar. </w:t>
      </w:r>
    </w:p>
    <w:p w14:paraId="1098EBBF" w14:textId="50A45467" w:rsidR="00C95594" w:rsidRPr="00D77A0E" w:rsidRDefault="00C95594" w:rsidP="00C95594">
      <w:pPr>
        <w:pStyle w:val="ListParagraph"/>
        <w:numPr>
          <w:ilvl w:val="0"/>
          <w:numId w:val="1"/>
        </w:numPr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 xml:space="preserve">BERINERT® -  </w:t>
      </w:r>
      <w:r w:rsidR="007C161C" w:rsidRPr="00D77A0E">
        <w:rPr>
          <w:rFonts w:ascii="Open Sans Regular" w:hAnsi="Open Sans Regular"/>
        </w:rPr>
        <w:t xml:space="preserve">marca del inhibidor C1 que ha sido aprobado por la FDA para tratar ataques agudos de AEH en el abdomen, cara o laringe. </w:t>
      </w:r>
      <w:proofErr w:type="spellStart"/>
      <w:r w:rsidR="007C161C" w:rsidRPr="00D77A0E">
        <w:rPr>
          <w:rFonts w:ascii="Open Sans Regular" w:hAnsi="Open Sans Regular"/>
        </w:rPr>
        <w:t>Berinert</w:t>
      </w:r>
      <w:proofErr w:type="spellEnd"/>
      <w:r w:rsidR="007C161C" w:rsidRPr="00D77A0E">
        <w:rPr>
          <w:rFonts w:ascii="Open Sans Regular" w:hAnsi="Open Sans Regular"/>
        </w:rPr>
        <w:t>® es administrado por vena y puede auto admi</w:t>
      </w:r>
      <w:r w:rsidRPr="00D77A0E">
        <w:rPr>
          <w:rFonts w:ascii="Open Sans Regular" w:hAnsi="Open Sans Regular"/>
        </w:rPr>
        <w:t>nistrarse cuando sea necesario.</w:t>
      </w:r>
    </w:p>
    <w:p w14:paraId="771A5F43" w14:textId="02DE00F8" w:rsidR="00C95594" w:rsidRPr="00D77A0E" w:rsidRDefault="00C95594" w:rsidP="00C95594">
      <w:pPr>
        <w:pStyle w:val="ListParagraph"/>
        <w:numPr>
          <w:ilvl w:val="0"/>
          <w:numId w:val="1"/>
        </w:numPr>
        <w:rPr>
          <w:rFonts w:ascii="Open Sans Regular" w:hAnsi="Open Sans Regular"/>
        </w:rPr>
      </w:pPr>
      <w:r w:rsidRPr="00D77A0E">
        <w:rPr>
          <w:rFonts w:ascii="Open Sans Regular" w:hAnsi="Open Sans Regular"/>
          <w:bCs/>
        </w:rPr>
        <w:lastRenderedPageBreak/>
        <w:t>HAEGARDA</w:t>
      </w:r>
      <w:r w:rsidRPr="00D77A0E">
        <w:rPr>
          <w:rFonts w:ascii="Open Sans Regular" w:hAnsi="Open Sans Regular"/>
          <w:vertAlign w:val="superscript"/>
        </w:rPr>
        <w:t>®</w:t>
      </w:r>
      <w:r w:rsidRPr="00D77A0E">
        <w:rPr>
          <w:rFonts w:ascii="Open Sans Regular" w:hAnsi="Open Sans Regular"/>
        </w:rPr>
        <w:t xml:space="preserve"> - marca de un concentrado del derivado de plasma del Inhibidor C1, y la única terapia subcutánea aprobada en los Estados Unidos para profilaxis de rutina. Asimismo, es utilizada para prevenir ataques de AEH en pacientes adolescentes y adultos. </w:t>
      </w:r>
    </w:p>
    <w:p w14:paraId="74D134E3" w14:textId="36FC5AD3" w:rsidR="00C95594" w:rsidRPr="00D77A0E" w:rsidRDefault="00C95594" w:rsidP="00C95594">
      <w:pPr>
        <w:pStyle w:val="ListParagraph"/>
        <w:numPr>
          <w:ilvl w:val="0"/>
          <w:numId w:val="1"/>
        </w:numPr>
        <w:rPr>
          <w:rFonts w:ascii="Open Sans Regular" w:hAnsi="Open Sans Regular"/>
        </w:rPr>
      </w:pPr>
      <w:r w:rsidRPr="00D77A0E">
        <w:rPr>
          <w:rFonts w:ascii="Open Sans Regular" w:hAnsi="Open Sans Regular"/>
          <w:bCs/>
        </w:rPr>
        <w:t>KALBITOR</w:t>
      </w:r>
      <w:r w:rsidRPr="00D77A0E">
        <w:rPr>
          <w:rFonts w:ascii="Open Sans Regular" w:hAnsi="Open Sans Regular"/>
          <w:vertAlign w:val="superscript"/>
        </w:rPr>
        <w:t>®</w:t>
      </w:r>
      <w:r w:rsidRPr="00D77A0E">
        <w:rPr>
          <w:rFonts w:ascii="Open Sans Regular" w:hAnsi="Open Sans Regular"/>
        </w:rPr>
        <w:t xml:space="preserve"> - marca de inhibidor plasma </w:t>
      </w:r>
      <w:proofErr w:type="spellStart"/>
      <w:r w:rsidRPr="00D77A0E">
        <w:rPr>
          <w:rFonts w:ascii="Open Sans Regular" w:hAnsi="Open Sans Regular"/>
        </w:rPr>
        <w:t>kallikrein</w:t>
      </w:r>
      <w:proofErr w:type="spellEnd"/>
      <w:r w:rsidRPr="00D77A0E">
        <w:rPr>
          <w:rFonts w:ascii="Open Sans Regular" w:hAnsi="Open Sans Regular"/>
        </w:rPr>
        <w:t xml:space="preserve"> aprobado por el FDA para el tratamiento de ataques agudos de AEH en pacientes de 12 años o más. </w:t>
      </w:r>
      <w:proofErr w:type="spellStart"/>
      <w:r w:rsidRPr="00D77A0E">
        <w:rPr>
          <w:rFonts w:ascii="Open Sans Regular" w:hAnsi="Open Sans Regular"/>
        </w:rPr>
        <w:t>Kalbitor</w:t>
      </w:r>
      <w:proofErr w:type="spellEnd"/>
      <w:r w:rsidRPr="00D77A0E">
        <w:rPr>
          <w:rFonts w:ascii="Open Sans Regular" w:hAnsi="Open Sans Regular"/>
        </w:rPr>
        <w:t xml:space="preserve">® se aplica a través de inyecciones subcutáneas. </w:t>
      </w:r>
    </w:p>
    <w:p w14:paraId="18E6F0C3" w14:textId="1FAAF8ED" w:rsidR="00C95594" w:rsidRPr="00D77A0E" w:rsidRDefault="00C95594" w:rsidP="00C95594">
      <w:pPr>
        <w:pStyle w:val="ListParagraph"/>
        <w:numPr>
          <w:ilvl w:val="0"/>
          <w:numId w:val="1"/>
        </w:numPr>
        <w:rPr>
          <w:rFonts w:ascii="Open Sans Regular" w:hAnsi="Open Sans Regular"/>
        </w:rPr>
      </w:pPr>
      <w:r w:rsidRPr="00D77A0E">
        <w:rPr>
          <w:rFonts w:ascii="Open Sans Regular" w:hAnsi="Open Sans Regular"/>
          <w:bCs/>
        </w:rPr>
        <w:t>RUCONEST</w:t>
      </w:r>
      <w:r w:rsidRPr="00D77A0E">
        <w:rPr>
          <w:rFonts w:ascii="Open Sans Regular" w:hAnsi="Open Sans Regular"/>
          <w:vertAlign w:val="superscript"/>
        </w:rPr>
        <w:t>®</w:t>
      </w:r>
      <w:r w:rsidRPr="00D77A0E">
        <w:rPr>
          <w:rFonts w:ascii="Open Sans Regular" w:hAnsi="Open Sans Regular"/>
        </w:rPr>
        <w:t xml:space="preserve"> - marca de Inhibidor C1 (recombinante) aprobado por el FDA para el tratamiento de ataques agudos de AEH en adultos y adolescentes. </w:t>
      </w:r>
      <w:proofErr w:type="spellStart"/>
      <w:r w:rsidRPr="00D77A0E">
        <w:rPr>
          <w:rFonts w:ascii="Open Sans Regular" w:hAnsi="Open Sans Regular"/>
        </w:rPr>
        <w:t>Ruconest</w:t>
      </w:r>
      <w:proofErr w:type="spellEnd"/>
      <w:r w:rsidRPr="00D77A0E">
        <w:rPr>
          <w:rFonts w:ascii="Open Sans Regular" w:hAnsi="Open Sans Regular"/>
        </w:rPr>
        <w:t>® se aplica de forma intravenosa y está aprobado para autoadministración.</w:t>
      </w:r>
    </w:p>
    <w:p w14:paraId="1251C44D" w14:textId="5CCC2244" w:rsidR="00C95594" w:rsidRPr="00D77A0E" w:rsidRDefault="00C95594" w:rsidP="00C95594">
      <w:pPr>
        <w:pStyle w:val="ListParagraph"/>
        <w:numPr>
          <w:ilvl w:val="0"/>
          <w:numId w:val="1"/>
        </w:numPr>
        <w:rPr>
          <w:rFonts w:ascii="Open Sans Regular" w:hAnsi="Open Sans Regular"/>
        </w:rPr>
      </w:pPr>
      <w:r w:rsidRPr="00D77A0E">
        <w:rPr>
          <w:rFonts w:ascii="Open Sans Regular" w:hAnsi="Open Sans Regular"/>
          <w:bCs/>
        </w:rPr>
        <w:t>TAKHZYRO</w:t>
      </w:r>
      <w:r w:rsidRPr="00D77A0E">
        <w:rPr>
          <w:rFonts w:ascii="Open Sans Regular" w:hAnsi="Open Sans Regular"/>
          <w:vertAlign w:val="superscript"/>
        </w:rPr>
        <w:t>®</w:t>
      </w:r>
      <w:r w:rsidRPr="00D77A0E">
        <w:rPr>
          <w:rFonts w:ascii="Open Sans Regular" w:hAnsi="Open Sans Regular"/>
        </w:rPr>
        <w:t xml:space="preserve"> - marca de un Inhibidor de la </w:t>
      </w:r>
      <w:proofErr w:type="spellStart"/>
      <w:r w:rsidRPr="00D77A0E">
        <w:rPr>
          <w:rFonts w:ascii="Open Sans Regular" w:hAnsi="Open Sans Regular"/>
        </w:rPr>
        <w:t>calicreína</w:t>
      </w:r>
      <w:proofErr w:type="spellEnd"/>
      <w:r w:rsidRPr="00D77A0E">
        <w:rPr>
          <w:rFonts w:ascii="Open Sans Regular" w:hAnsi="Open Sans Regular"/>
        </w:rPr>
        <w:t xml:space="preserve"> plasmática aprobado por la FDA (anticuerpo monoclonal) indicado para profilaxis. Además, que se administra a través de un medicamento inyectable subcutáneo una vez cada dos semanas para ayudar a prevenir los ataques de AEH en personas de 12 años o más. </w:t>
      </w:r>
    </w:p>
    <w:p w14:paraId="13676E3B" w14:textId="48C79EA4" w:rsidR="007C161C" w:rsidRPr="00D77A0E" w:rsidRDefault="001E335C" w:rsidP="007C161C">
      <w:pPr>
        <w:jc w:val="both"/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 xml:space="preserve">Un tratamiento efectivo de AEH requiere que a mi pacientes se le administre uno de estos medicamentos lo más rápido posible para detener un ataque de hinchazón. [El médico detallará el plan personalizado a continuación] </w:t>
      </w:r>
    </w:p>
    <w:p w14:paraId="2CA6A7D8" w14:textId="74370C8E" w:rsidR="00BF1F44" w:rsidRPr="00D77A0E" w:rsidRDefault="001E335C" w:rsidP="007C161C">
      <w:pPr>
        <w:jc w:val="both"/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>Por su salud, es necesario que al viajar el paciente</w:t>
      </w:r>
      <w:r w:rsidR="00B80483" w:rsidRPr="00D77A0E">
        <w:rPr>
          <w:rFonts w:ascii="Open Sans Regular" w:hAnsi="Open Sans Regular"/>
        </w:rPr>
        <w:t xml:space="preserve"> siempre</w:t>
      </w:r>
      <w:r w:rsidRPr="00D77A0E">
        <w:rPr>
          <w:rFonts w:ascii="Open Sans Regular" w:hAnsi="Open Sans Regular"/>
        </w:rPr>
        <w:t xml:space="preserve"> lleve consigo los medicamentos de AEH que aparecen en su plan, y  todo el equipo que sea necesario para administrar el tratamiento. El paciente podría requerir una segunda dosis de medicamento</w:t>
      </w:r>
      <w:r w:rsidR="00BF1F44" w:rsidRPr="00D77A0E">
        <w:rPr>
          <w:rFonts w:ascii="Open Sans Regular" w:hAnsi="Open Sans Regular"/>
        </w:rPr>
        <w:t xml:space="preserve"> en caso de que experimente una respuesta parcial o síntomas recurrentes de </w:t>
      </w:r>
      <w:proofErr w:type="spellStart"/>
      <w:r w:rsidR="00BF1F44" w:rsidRPr="00D77A0E">
        <w:rPr>
          <w:rFonts w:ascii="Open Sans Regular" w:hAnsi="Open Sans Regular"/>
        </w:rPr>
        <w:t>angioedema</w:t>
      </w:r>
      <w:proofErr w:type="spellEnd"/>
      <w:r w:rsidR="00BF1F44" w:rsidRPr="00D77A0E">
        <w:rPr>
          <w:rFonts w:ascii="Open Sans Regular" w:hAnsi="Open Sans Regular"/>
        </w:rPr>
        <w:t xml:space="preserve">.  Además de este tratamiento, el manejo de un ataque agudo de AEH podría requerir atención adicional incluyendo: monitoreo de la aerovía, medicamentos analgésicos y antieméticos, y líquido por vena según sea apropiado. </w:t>
      </w:r>
    </w:p>
    <w:p w14:paraId="5EEAFE71" w14:textId="77777777" w:rsidR="001C4D02" w:rsidRPr="00D77A0E" w:rsidRDefault="00BF1F44" w:rsidP="007C161C">
      <w:pPr>
        <w:jc w:val="both"/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>*La hinchazón por AEH NO responde a los medicamentos utilizados para tratar reacciones alérgicas</w:t>
      </w:r>
      <w:r w:rsidR="001C4D02" w:rsidRPr="00D77A0E">
        <w:rPr>
          <w:rFonts w:ascii="Open Sans Regular" w:hAnsi="Open Sans Regular"/>
        </w:rPr>
        <w:t xml:space="preserve">, como: antihistamínicos, epinefrina, y </w:t>
      </w:r>
      <w:proofErr w:type="spellStart"/>
      <w:r w:rsidR="001C4D02" w:rsidRPr="00D77A0E">
        <w:rPr>
          <w:rFonts w:ascii="Open Sans Regular" w:hAnsi="Open Sans Regular"/>
        </w:rPr>
        <w:t>corticoesteroides</w:t>
      </w:r>
      <w:proofErr w:type="spellEnd"/>
      <w:r w:rsidR="001C4D02" w:rsidRPr="00D77A0E">
        <w:rPr>
          <w:rFonts w:ascii="Open Sans Regular" w:hAnsi="Open Sans Regular"/>
        </w:rPr>
        <w:t>,</w:t>
      </w:r>
    </w:p>
    <w:p w14:paraId="2D1DE241" w14:textId="62B0B6E7" w:rsidR="001E335C" w:rsidRPr="00D77A0E" w:rsidRDefault="001C4D02" w:rsidP="007C161C">
      <w:pPr>
        <w:jc w:val="both"/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>*Si la aerovía est</w:t>
      </w:r>
      <w:r w:rsidR="00B80483" w:rsidRPr="00D77A0E">
        <w:rPr>
          <w:rFonts w:ascii="Open Sans Regular" w:hAnsi="Open Sans Regular"/>
        </w:rPr>
        <w:t>á</w:t>
      </w:r>
      <w:r w:rsidRPr="00D77A0E">
        <w:rPr>
          <w:rFonts w:ascii="Open Sans Regular" w:hAnsi="Open Sans Regular"/>
        </w:rPr>
        <w:t xml:space="preserve"> comprometida, se requiere una dosis inmediata del medicamento efectivo de los arriba mencionados y monitoreo estricto.</w:t>
      </w:r>
    </w:p>
    <w:p w14:paraId="5D674BF5" w14:textId="77777777" w:rsidR="004132B3" w:rsidRPr="00D77A0E" w:rsidRDefault="001C4D02" w:rsidP="007C161C">
      <w:pPr>
        <w:jc w:val="both"/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>P</w:t>
      </w:r>
      <w:r w:rsidR="004132B3" w:rsidRPr="00D77A0E">
        <w:rPr>
          <w:rFonts w:ascii="Open Sans Regular" w:hAnsi="Open Sans Regular"/>
        </w:rPr>
        <w:t>ara consultas sobre AEH, puede contactarme a [INERTE LA INFORMACIÓN DE CONTACTO DEL MÉDICO]</w:t>
      </w:r>
    </w:p>
    <w:p w14:paraId="2C3F20B2" w14:textId="77777777" w:rsidR="004C138B" w:rsidRPr="00D77A0E" w:rsidRDefault="00CD5405" w:rsidP="007C161C">
      <w:pPr>
        <w:jc w:val="both"/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 xml:space="preserve"> </w:t>
      </w:r>
    </w:p>
    <w:p w14:paraId="0B9ED66C" w14:textId="77777777" w:rsidR="004C138B" w:rsidRPr="00D77A0E" w:rsidRDefault="004C138B" w:rsidP="007C161C">
      <w:pPr>
        <w:jc w:val="both"/>
        <w:rPr>
          <w:rFonts w:ascii="Open Sans Regular" w:hAnsi="Open Sans Regular"/>
        </w:rPr>
      </w:pPr>
    </w:p>
    <w:p w14:paraId="14BF7912" w14:textId="0CD612E0" w:rsidR="004132B3" w:rsidRPr="00D77A0E" w:rsidRDefault="00CD5405" w:rsidP="007C161C">
      <w:pPr>
        <w:jc w:val="both"/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>Sincer</w:t>
      </w:r>
      <w:r w:rsidR="004132B3" w:rsidRPr="00D77A0E">
        <w:rPr>
          <w:rFonts w:ascii="Open Sans Regular" w:hAnsi="Open Sans Regular"/>
        </w:rPr>
        <w:t>amente</w:t>
      </w:r>
      <w:r w:rsidRPr="00D77A0E">
        <w:rPr>
          <w:rFonts w:ascii="Open Sans Regular" w:hAnsi="Open Sans Regular"/>
        </w:rPr>
        <w:t xml:space="preserve">, </w:t>
      </w:r>
    </w:p>
    <w:p w14:paraId="7387F566" w14:textId="77777777" w:rsidR="004132B3" w:rsidRPr="00D77A0E" w:rsidRDefault="00CD5405" w:rsidP="007C161C">
      <w:pPr>
        <w:jc w:val="both"/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>[</w:t>
      </w:r>
      <w:r w:rsidR="004132B3" w:rsidRPr="00D77A0E">
        <w:rPr>
          <w:rFonts w:ascii="Open Sans Regular" w:hAnsi="Open Sans Regular"/>
        </w:rPr>
        <w:t>Firma del Médico</w:t>
      </w:r>
      <w:r w:rsidRPr="00D77A0E">
        <w:rPr>
          <w:rFonts w:ascii="Open Sans Regular" w:hAnsi="Open Sans Regular"/>
        </w:rPr>
        <w:t xml:space="preserve">] </w:t>
      </w:r>
    </w:p>
    <w:p w14:paraId="7C4B7468" w14:textId="4CA9AEFF" w:rsidR="00B80483" w:rsidRPr="00D77A0E" w:rsidRDefault="004132B3" w:rsidP="007C161C">
      <w:pPr>
        <w:jc w:val="both"/>
        <w:rPr>
          <w:rFonts w:ascii="Open Sans Regular" w:hAnsi="Open Sans Regular"/>
        </w:rPr>
      </w:pPr>
      <w:r w:rsidRPr="00D77A0E">
        <w:rPr>
          <w:rFonts w:ascii="Open Sans Regular" w:hAnsi="Open Sans Regular"/>
        </w:rPr>
        <w:t>Nombre del médico y su título</w:t>
      </w:r>
    </w:p>
    <w:sectPr w:rsidR="00B80483" w:rsidRPr="00D7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Regular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C5B"/>
    <w:multiLevelType w:val="multilevel"/>
    <w:tmpl w:val="B11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F4C44"/>
    <w:multiLevelType w:val="multilevel"/>
    <w:tmpl w:val="4886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05CD8"/>
    <w:multiLevelType w:val="hybridMultilevel"/>
    <w:tmpl w:val="467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05"/>
    <w:rsid w:val="000C2B1A"/>
    <w:rsid w:val="001C4D02"/>
    <w:rsid w:val="001E335C"/>
    <w:rsid w:val="004132B3"/>
    <w:rsid w:val="004C138B"/>
    <w:rsid w:val="005F065D"/>
    <w:rsid w:val="00601D1E"/>
    <w:rsid w:val="0064626A"/>
    <w:rsid w:val="007108D3"/>
    <w:rsid w:val="007C161C"/>
    <w:rsid w:val="008C3068"/>
    <w:rsid w:val="00B80483"/>
    <w:rsid w:val="00BF1F44"/>
    <w:rsid w:val="00C95594"/>
    <w:rsid w:val="00CD5405"/>
    <w:rsid w:val="00D7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5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3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8B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4C1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3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8B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4C1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Schell</dc:creator>
  <cp:keywords/>
  <dc:description/>
  <cp:lastModifiedBy>Ianice Viel</cp:lastModifiedBy>
  <cp:revision>2</cp:revision>
  <dcterms:created xsi:type="dcterms:W3CDTF">2019-06-04T20:09:00Z</dcterms:created>
  <dcterms:modified xsi:type="dcterms:W3CDTF">2019-06-04T20:09:00Z</dcterms:modified>
</cp:coreProperties>
</file>